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一、分项报价表</w:t>
      </w:r>
    </w:p>
    <w:p>
      <w:pPr>
        <w:pStyle w:val="2"/>
      </w:pPr>
      <w:r>
        <w:drawing>
          <wp:inline distT="0" distB="0" distL="114300" distR="114300">
            <wp:extent cx="5278120" cy="3743960"/>
            <wp:effectExtent l="0" t="0" r="1778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最终报价：人民币伍拾壹万元整（¥510000.00元）</w:t>
      </w:r>
    </w:p>
    <w:p/>
    <w:p>
      <w:pPr>
        <w:numPr>
          <w:ilvl w:val="0"/>
          <w:numId w:val="0"/>
        </w:num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二、</w:t>
      </w:r>
      <w:r>
        <w:rPr>
          <w:rFonts w:hint="eastAsia"/>
          <w:b/>
          <w:bCs/>
          <w:sz w:val="28"/>
          <w:szCs w:val="32"/>
        </w:rPr>
        <w:t>投标人投标报价与评标价、投标人最终报价与评标价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130425"/>
            <wp:effectExtent l="0" t="0" r="3810" b="31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FhN2I0NDBjZGEwN2IxMmVjODI5MjRmNDU1YmEifQ=="/>
  </w:docVars>
  <w:rsids>
    <w:rsidRoot w:val="00000000"/>
    <w:rsid w:val="124B2A4B"/>
    <w:rsid w:val="5CF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62</Characters>
  <Lines>0</Lines>
  <Paragraphs>0</Paragraphs>
  <TotalTime>0</TotalTime>
  <ScaleCrop>false</ScaleCrop>
  <LinksUpToDate>false</LinksUpToDate>
  <CharactersWithSpaces>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2024-06-19T07:39:00Z</dcterms:created>
  <dc:creator>Administrator</dc:creator>
  <cp:lastModifiedBy>Eve</cp:lastModifiedBy>
  <dcterms:modified xsi:type="dcterms:W3CDTF">2024-06-24T06:30:41Z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62ADB4E30CC1456D8C39A9A67B770CA0_12</vt:lpwstr>
  </property>
</Properties>
</file>