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第一标包</w:t>
      </w:r>
    </w:p>
    <w:p>
      <w:pPr>
        <w:jc w:val="center"/>
      </w:pPr>
      <w:r>
        <w:drawing>
          <wp:inline distT="0" distB="0" distL="114300" distR="114300">
            <wp:extent cx="7428865" cy="49244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886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第二标包</w:t>
      </w:r>
    </w:p>
    <w:p>
      <w:pPr>
        <w:jc w:val="center"/>
      </w:pPr>
      <w:r>
        <w:drawing>
          <wp:inline distT="0" distB="0" distL="114300" distR="114300">
            <wp:extent cx="8397240" cy="4764405"/>
            <wp:effectExtent l="0" t="0" r="381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8854440" cy="5682615"/>
            <wp:effectExtent l="0" t="0" r="381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8439785" cy="4251325"/>
            <wp:effectExtent l="0" t="0" r="1841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3978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rFonts w:hint="eastAsia"/>
        </w:rPr>
        <w:t>安徽嘉事众兴医疗器械有限公司“投标分项报价表”中体外冲击波碎石机的第5（单价：18500元 ， 数量：1 ， 总价金额：30000元）、16（单价：5000元， 数量：1， 总价金额：10000元）项单价报价与对应的折合后总价金额不一致。按询价通知书规定如果按单价计算的结果与合计总价不一致，以单价为准修正合计总价。经修正，实际合计总价为553500元。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第四标包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7873365" cy="4704715"/>
            <wp:effectExtent l="0" t="0" r="133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3365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jllNGM1YTlmZjYzOThjOTBmMzdlMTEzZjU2ODUifQ=="/>
  </w:docVars>
  <w:rsids>
    <w:rsidRoot w:val="00000000"/>
    <w:rsid w:val="141E6050"/>
    <w:rsid w:val="4FA308BF"/>
    <w:rsid w:val="6D9B6498"/>
    <w:rsid w:val="753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</Words>
  <Characters>183</Characters>
  <Lines>0</Lines>
  <Paragraphs>0</Paragraphs>
  <TotalTime>0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2023-01-06T09:15:00Z</dcterms:created>
  <dc:creator>admin</dc:creator>
  <cp:lastModifiedBy>啊冰。</cp:lastModifiedBy>
  <dcterms:modified xsi:type="dcterms:W3CDTF">2023-01-09T09:43:18Z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7BE3EA3462F54995A0E7F334CBFE07F0</vt:lpwstr>
  </property>
</Properties>
</file>